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BEA" w:rsidRDefault="00650BEA" w:rsidP="00650BEA">
      <w:pPr>
        <w:pStyle w:val="BodyText"/>
        <w:jc w:val="center"/>
        <w:rPr>
          <w:sz w:val="22"/>
          <w:szCs w:val="24"/>
          <w:lang w:bidi="ar-LB"/>
        </w:rPr>
      </w:pPr>
      <w:r>
        <w:rPr>
          <w:sz w:val="22"/>
          <w:szCs w:val="24"/>
          <w:rtl/>
        </w:rPr>
        <w:t xml:space="preserve">برنامــج </w:t>
      </w:r>
      <w:r>
        <w:rPr>
          <w:sz w:val="22"/>
          <w:szCs w:val="24"/>
          <w:rtl/>
          <w:lang w:bidi="ar-LB"/>
        </w:rPr>
        <w:t>معدل</w:t>
      </w:r>
      <w:r>
        <w:rPr>
          <w:sz w:val="22"/>
          <w:szCs w:val="24"/>
          <w:rtl/>
        </w:rPr>
        <w:t xml:space="preserve"> لمستوى (الاجازة الفنية)  ( </w:t>
      </w:r>
      <w:r>
        <w:rPr>
          <w:sz w:val="22"/>
          <w:szCs w:val="24"/>
        </w:rPr>
        <w:t>LT</w:t>
      </w:r>
      <w:r>
        <w:rPr>
          <w:sz w:val="22"/>
          <w:szCs w:val="24"/>
          <w:rtl/>
        </w:rPr>
        <w:t xml:space="preserve"> ) (حصراً للعام الدراسي 2020-2021</w:t>
      </w:r>
      <w:r>
        <w:rPr>
          <w:sz w:val="22"/>
          <w:szCs w:val="24"/>
          <w:rtl/>
          <w:lang w:bidi="ar-LB"/>
        </w:rPr>
        <w:t>) (لجنة الحقوق)</w:t>
      </w:r>
    </w:p>
    <w:p w:rsidR="00650BEA" w:rsidRDefault="00650BEA" w:rsidP="00650BEA">
      <w:pPr>
        <w:pStyle w:val="BodyText"/>
        <w:jc w:val="center"/>
        <w:rPr>
          <w:sz w:val="22"/>
          <w:szCs w:val="24"/>
          <w:rtl/>
        </w:rPr>
      </w:pPr>
      <w:r>
        <w:rPr>
          <w:b w:val="0"/>
          <w:bCs w:val="0"/>
          <w:sz w:val="22"/>
          <w:szCs w:val="24"/>
          <w:rtl/>
        </w:rPr>
        <w:t>(</w:t>
      </w:r>
      <w:r>
        <w:rPr>
          <w:sz w:val="22"/>
          <w:szCs w:val="24"/>
        </w:rPr>
        <w:t xml:space="preserve">Sciences </w:t>
      </w:r>
      <w:proofErr w:type="spellStart"/>
      <w:r>
        <w:rPr>
          <w:sz w:val="22"/>
          <w:szCs w:val="24"/>
        </w:rPr>
        <w:t>Infirmières</w:t>
      </w:r>
      <w:proofErr w:type="spellEnd"/>
      <w:r>
        <w:rPr>
          <w:sz w:val="22"/>
          <w:szCs w:val="24"/>
          <w:rtl/>
        </w:rPr>
        <w:t xml:space="preserve"> )</w:t>
      </w:r>
    </w:p>
    <w:p w:rsidR="00650BEA" w:rsidRDefault="00650BEA" w:rsidP="00650BEA">
      <w:pPr>
        <w:pStyle w:val="BodyText"/>
        <w:jc w:val="center"/>
        <w:rPr>
          <w:sz w:val="22"/>
          <w:szCs w:val="24"/>
          <w:rtl/>
          <w:lang w:bidi="ar-LB"/>
        </w:rPr>
      </w:pPr>
      <w:r>
        <w:rPr>
          <w:sz w:val="22"/>
          <w:szCs w:val="24"/>
          <w:rtl/>
        </w:rPr>
        <w:t xml:space="preserve">المنهاج العائد لمادة القانون التطبيقي </w:t>
      </w:r>
      <w:r>
        <w:rPr>
          <w:sz w:val="22"/>
          <w:szCs w:val="24"/>
          <w:rtl/>
          <w:lang w:bidi="ar-LB"/>
        </w:rPr>
        <w:t xml:space="preserve">اختصاص العناية التمريضية </w:t>
      </w:r>
    </w:p>
    <w:p w:rsidR="00650BEA" w:rsidRDefault="00650BEA" w:rsidP="00650BEA">
      <w:pPr>
        <w:numPr>
          <w:ilvl w:val="0"/>
          <w:numId w:val="6"/>
        </w:numPr>
        <w:bidi/>
        <w:spacing w:before="0" w:after="0"/>
        <w:ind w:hanging="636"/>
        <w:jc w:val="left"/>
        <w:rPr>
          <w:sz w:val="18"/>
          <w:szCs w:val="24"/>
          <w:u w:val="single"/>
          <w:rtl/>
        </w:rPr>
      </w:pPr>
      <w:r>
        <w:rPr>
          <w:sz w:val="18"/>
          <w:szCs w:val="24"/>
          <w:u w:val="single"/>
          <w:rtl/>
        </w:rPr>
        <w:t>التشريعات والقوانين المتعلقة بالعناية التمريضية :</w:t>
      </w:r>
    </w:p>
    <w:p w:rsidR="00650BEA" w:rsidRDefault="00650BEA" w:rsidP="00650BEA">
      <w:pPr>
        <w:numPr>
          <w:ilvl w:val="0"/>
          <w:numId w:val="7"/>
        </w:numPr>
        <w:bidi/>
        <w:spacing w:before="0" w:after="0"/>
        <w:jc w:val="left"/>
        <w:rPr>
          <w:sz w:val="18"/>
          <w:szCs w:val="24"/>
        </w:rPr>
      </w:pPr>
      <w:r>
        <w:rPr>
          <w:b/>
          <w:bCs/>
          <w:sz w:val="18"/>
          <w:szCs w:val="24"/>
          <w:rtl/>
        </w:rPr>
        <w:t>تعريف وزارة الصحة – دورها – تنظيمها او هيكليتها .</w:t>
      </w:r>
    </w:p>
    <w:p w:rsidR="00650BEA" w:rsidRDefault="00650BEA" w:rsidP="00650BEA">
      <w:pPr>
        <w:numPr>
          <w:ilvl w:val="0"/>
          <w:numId w:val="7"/>
        </w:numPr>
        <w:bidi/>
        <w:spacing w:before="0" w:after="0"/>
        <w:jc w:val="both"/>
        <w:rPr>
          <w:b/>
          <w:bCs/>
          <w:sz w:val="18"/>
          <w:szCs w:val="24"/>
          <w:rtl/>
        </w:rPr>
      </w:pPr>
      <w:r>
        <w:rPr>
          <w:b/>
          <w:bCs/>
          <w:sz w:val="18"/>
          <w:szCs w:val="24"/>
          <w:rtl/>
        </w:rPr>
        <w:t>المفهوم القانوني للمستشفى العام او الحكومي والمستشفى الخاص – مستشفيات الأمراض العقلية – المصحات – المستوصفات المجانية والعيادات الطبية .</w:t>
      </w:r>
    </w:p>
    <w:p w:rsidR="00650BEA" w:rsidRDefault="00650BEA" w:rsidP="00650BEA">
      <w:pPr>
        <w:numPr>
          <w:ilvl w:val="0"/>
          <w:numId w:val="7"/>
        </w:numPr>
        <w:bidi/>
        <w:spacing w:before="0" w:after="0"/>
        <w:jc w:val="both"/>
        <w:rPr>
          <w:b/>
          <w:bCs/>
          <w:sz w:val="18"/>
          <w:szCs w:val="24"/>
          <w:rtl/>
        </w:rPr>
      </w:pPr>
      <w:r>
        <w:rPr>
          <w:b/>
          <w:bCs/>
          <w:sz w:val="18"/>
          <w:szCs w:val="24"/>
          <w:rtl/>
        </w:rPr>
        <w:t>التعريف القانوني والفرق بين الممرض المجاز – الممرض – الممرض المساعد (نظام امتحانات الكولوكيوم للممرضات) .</w:t>
      </w:r>
    </w:p>
    <w:p w:rsidR="00650BEA" w:rsidRDefault="00650BEA" w:rsidP="00650BEA">
      <w:pPr>
        <w:numPr>
          <w:ilvl w:val="0"/>
          <w:numId w:val="7"/>
        </w:numPr>
        <w:bidi/>
        <w:spacing w:before="0" w:after="0"/>
        <w:jc w:val="both"/>
        <w:rPr>
          <w:b/>
          <w:bCs/>
          <w:sz w:val="18"/>
          <w:szCs w:val="24"/>
        </w:rPr>
      </w:pPr>
      <w:r>
        <w:rPr>
          <w:b/>
          <w:bCs/>
          <w:sz w:val="18"/>
          <w:szCs w:val="24"/>
          <w:rtl/>
        </w:rPr>
        <w:t>المفهوم القانوني للمسؤولية (الفرق بين المسؤولية المدنية (التعاقدية والتقصيرية) ، والمسؤولية الجزائية ، والمسؤولية المهنية والمسلكية .</w:t>
      </w:r>
    </w:p>
    <w:p w:rsidR="00650BEA" w:rsidRDefault="00650BEA" w:rsidP="00650BEA">
      <w:pPr>
        <w:numPr>
          <w:ilvl w:val="1"/>
          <w:numId w:val="6"/>
        </w:numPr>
        <w:bidi/>
        <w:spacing w:before="0" w:after="0"/>
        <w:jc w:val="both"/>
        <w:rPr>
          <w:b/>
          <w:bCs/>
          <w:sz w:val="18"/>
          <w:szCs w:val="24"/>
        </w:rPr>
      </w:pPr>
      <w:r>
        <w:rPr>
          <w:b/>
          <w:bCs/>
          <w:sz w:val="18"/>
          <w:szCs w:val="24"/>
          <w:rtl/>
        </w:rPr>
        <w:t xml:space="preserve">المسؤولية الجزائية للممرض (اهمال وقلة احتراز م 565 ع) </w:t>
      </w:r>
    </w:p>
    <w:p w:rsidR="00650BEA" w:rsidRDefault="00650BEA" w:rsidP="00650BEA">
      <w:pPr>
        <w:numPr>
          <w:ilvl w:val="1"/>
          <w:numId w:val="6"/>
        </w:numPr>
        <w:bidi/>
        <w:spacing w:before="0" w:after="0"/>
        <w:jc w:val="both"/>
        <w:rPr>
          <w:b/>
          <w:bCs/>
          <w:sz w:val="18"/>
          <w:szCs w:val="24"/>
        </w:rPr>
      </w:pPr>
      <w:r>
        <w:rPr>
          <w:b/>
          <w:bCs/>
          <w:sz w:val="18"/>
          <w:szCs w:val="24"/>
          <w:rtl/>
        </w:rPr>
        <w:t>مسؤولية الممرّض المجاز عن أعمال الممرض والممرض المساعد .</w:t>
      </w:r>
    </w:p>
    <w:p w:rsidR="00650BEA" w:rsidRDefault="00650BEA" w:rsidP="00650BEA">
      <w:pPr>
        <w:numPr>
          <w:ilvl w:val="1"/>
          <w:numId w:val="6"/>
        </w:numPr>
        <w:bidi/>
        <w:spacing w:before="0" w:after="0"/>
        <w:jc w:val="both"/>
        <w:rPr>
          <w:b/>
          <w:bCs/>
          <w:sz w:val="18"/>
          <w:szCs w:val="24"/>
        </w:rPr>
      </w:pPr>
      <w:r>
        <w:rPr>
          <w:b/>
          <w:bCs/>
          <w:sz w:val="18"/>
          <w:szCs w:val="24"/>
          <w:rtl/>
        </w:rPr>
        <w:t>معيار تقدير الخطأ وكيفية اثبات الرابطة السببية بين الخطأ والضرر .</w:t>
      </w:r>
    </w:p>
    <w:p w:rsidR="00650BEA" w:rsidRDefault="00650BEA" w:rsidP="00650BEA">
      <w:pPr>
        <w:numPr>
          <w:ilvl w:val="1"/>
          <w:numId w:val="6"/>
        </w:numPr>
        <w:bidi/>
        <w:spacing w:before="0" w:after="0"/>
        <w:jc w:val="both"/>
        <w:rPr>
          <w:b/>
          <w:bCs/>
          <w:sz w:val="18"/>
          <w:szCs w:val="24"/>
        </w:rPr>
      </w:pPr>
      <w:r>
        <w:rPr>
          <w:b/>
          <w:bCs/>
          <w:sz w:val="18"/>
          <w:szCs w:val="24"/>
          <w:rtl/>
        </w:rPr>
        <w:t>واجبات الممرض تجاه المرضى والمؤسسة ومتى تترتب عليه المسؤولية الجزائية او المدنية او المسلكية .</w:t>
      </w:r>
    </w:p>
    <w:p w:rsidR="00650BEA" w:rsidRDefault="00650BEA" w:rsidP="00650BEA">
      <w:pPr>
        <w:numPr>
          <w:ilvl w:val="1"/>
          <w:numId w:val="6"/>
        </w:numPr>
        <w:bidi/>
        <w:spacing w:before="0" w:after="0"/>
        <w:jc w:val="both"/>
        <w:rPr>
          <w:b/>
          <w:bCs/>
          <w:sz w:val="18"/>
          <w:szCs w:val="24"/>
        </w:rPr>
      </w:pPr>
      <w:r>
        <w:rPr>
          <w:b/>
          <w:bCs/>
          <w:sz w:val="18"/>
          <w:szCs w:val="24"/>
          <w:rtl/>
        </w:rPr>
        <w:t>الفرق بين موجبات الوسيلة بالنسبة للمرض، وموجبات النتيجة، وموجب بذل العناية .</w:t>
      </w:r>
    </w:p>
    <w:p w:rsidR="00650BEA" w:rsidRDefault="00650BEA" w:rsidP="00650BEA">
      <w:pPr>
        <w:numPr>
          <w:ilvl w:val="1"/>
          <w:numId w:val="6"/>
        </w:numPr>
        <w:bidi/>
        <w:spacing w:before="0" w:after="0"/>
        <w:jc w:val="both"/>
        <w:rPr>
          <w:b/>
          <w:bCs/>
          <w:sz w:val="18"/>
          <w:szCs w:val="24"/>
        </w:rPr>
      </w:pPr>
      <w:r>
        <w:rPr>
          <w:b/>
          <w:bCs/>
          <w:sz w:val="18"/>
          <w:szCs w:val="24"/>
          <w:rtl/>
        </w:rPr>
        <w:t>الفرق بين الأعمال الطبية، وأعمال المعالجة والتمريض .</w:t>
      </w:r>
    </w:p>
    <w:p w:rsidR="00650BEA" w:rsidRDefault="00650BEA" w:rsidP="00650BEA">
      <w:pPr>
        <w:numPr>
          <w:ilvl w:val="1"/>
          <w:numId w:val="6"/>
        </w:numPr>
        <w:bidi/>
        <w:spacing w:before="0" w:after="0"/>
        <w:jc w:val="both"/>
        <w:rPr>
          <w:b/>
          <w:bCs/>
          <w:sz w:val="18"/>
          <w:szCs w:val="24"/>
        </w:rPr>
      </w:pPr>
      <w:r>
        <w:rPr>
          <w:b/>
          <w:bCs/>
          <w:sz w:val="18"/>
          <w:szCs w:val="24"/>
          <w:rtl/>
        </w:rPr>
        <w:t>مدى مسؤولية الطبيب عن أخطاء الفريق التمريضي التابع له .</w:t>
      </w:r>
    </w:p>
    <w:p w:rsidR="00650BEA" w:rsidRDefault="00650BEA" w:rsidP="00650BEA">
      <w:pPr>
        <w:numPr>
          <w:ilvl w:val="1"/>
          <w:numId w:val="6"/>
        </w:numPr>
        <w:bidi/>
        <w:spacing w:before="0" w:after="0"/>
        <w:jc w:val="both"/>
        <w:rPr>
          <w:b/>
          <w:bCs/>
          <w:sz w:val="18"/>
          <w:szCs w:val="24"/>
        </w:rPr>
      </w:pPr>
      <w:r>
        <w:rPr>
          <w:b/>
          <w:bCs/>
          <w:sz w:val="18"/>
          <w:szCs w:val="24"/>
          <w:rtl/>
        </w:rPr>
        <w:t>مبدأ رضى المريض للمعالجة ، ومدى قانونية المعالجة الملزمة له بالرغم من معارضته .</w:t>
      </w:r>
    </w:p>
    <w:p w:rsidR="00650BEA" w:rsidRDefault="00650BEA" w:rsidP="00650BEA">
      <w:pPr>
        <w:numPr>
          <w:ilvl w:val="1"/>
          <w:numId w:val="6"/>
        </w:numPr>
        <w:bidi/>
        <w:spacing w:before="0" w:after="0"/>
        <w:jc w:val="both"/>
        <w:rPr>
          <w:b/>
          <w:bCs/>
          <w:sz w:val="18"/>
          <w:szCs w:val="24"/>
        </w:rPr>
      </w:pPr>
      <w:r>
        <w:rPr>
          <w:b/>
          <w:bCs/>
          <w:sz w:val="18"/>
          <w:szCs w:val="24"/>
          <w:rtl/>
        </w:rPr>
        <w:t>حالة انهاء الحياة بناء لطلب المريض (المفهوم القانوني للموت الرحيم)</w:t>
      </w:r>
    </w:p>
    <w:p w:rsidR="00650BEA" w:rsidRDefault="00650BEA" w:rsidP="00650BEA">
      <w:pPr>
        <w:numPr>
          <w:ilvl w:val="1"/>
          <w:numId w:val="6"/>
        </w:numPr>
        <w:bidi/>
        <w:spacing w:before="0" w:after="0"/>
        <w:jc w:val="both"/>
        <w:rPr>
          <w:b/>
          <w:bCs/>
          <w:sz w:val="18"/>
          <w:szCs w:val="24"/>
        </w:rPr>
      </w:pPr>
      <w:r>
        <w:rPr>
          <w:b/>
          <w:bCs/>
          <w:sz w:val="18"/>
          <w:szCs w:val="24"/>
          <w:rtl/>
        </w:rPr>
        <w:t>مدى قانونية رضى المريض باجراء التجارب الطبية عليه .</w:t>
      </w:r>
    </w:p>
    <w:p w:rsidR="00650BEA" w:rsidRDefault="00650BEA" w:rsidP="00650BEA">
      <w:pPr>
        <w:numPr>
          <w:ilvl w:val="1"/>
          <w:numId w:val="6"/>
        </w:numPr>
        <w:bidi/>
        <w:spacing w:before="0" w:after="0"/>
        <w:jc w:val="both"/>
        <w:rPr>
          <w:b/>
          <w:bCs/>
          <w:sz w:val="18"/>
          <w:szCs w:val="24"/>
        </w:rPr>
      </w:pPr>
      <w:r>
        <w:rPr>
          <w:b/>
          <w:bCs/>
          <w:sz w:val="18"/>
          <w:szCs w:val="24"/>
          <w:rtl/>
        </w:rPr>
        <w:t>الشروط القانونية لاستئصال الأعضاء بعد الوفاة وتشريح الجثة .</w:t>
      </w:r>
    </w:p>
    <w:p w:rsidR="00650BEA" w:rsidRDefault="00650BEA" w:rsidP="00650BEA">
      <w:pPr>
        <w:numPr>
          <w:ilvl w:val="1"/>
          <w:numId w:val="6"/>
        </w:numPr>
        <w:bidi/>
        <w:spacing w:before="0" w:after="0"/>
        <w:jc w:val="both"/>
        <w:rPr>
          <w:b/>
          <w:bCs/>
          <w:sz w:val="18"/>
          <w:szCs w:val="24"/>
        </w:rPr>
      </w:pPr>
      <w:r>
        <w:rPr>
          <w:b/>
          <w:bCs/>
          <w:sz w:val="18"/>
          <w:szCs w:val="24"/>
          <w:rtl/>
        </w:rPr>
        <w:t>أصول هبة وأخذ الأنسجة والأعضاء البشرية لحاجات طبية وعلمية .</w:t>
      </w:r>
    </w:p>
    <w:p w:rsidR="00650BEA" w:rsidRDefault="00650BEA" w:rsidP="00650BEA">
      <w:pPr>
        <w:numPr>
          <w:ilvl w:val="1"/>
          <w:numId w:val="6"/>
        </w:numPr>
        <w:bidi/>
        <w:spacing w:before="0" w:after="0"/>
        <w:jc w:val="both"/>
        <w:rPr>
          <w:b/>
          <w:bCs/>
          <w:sz w:val="18"/>
          <w:szCs w:val="24"/>
        </w:rPr>
      </w:pPr>
      <w:r>
        <w:rPr>
          <w:b/>
          <w:bCs/>
          <w:sz w:val="18"/>
          <w:szCs w:val="24"/>
          <w:rtl/>
        </w:rPr>
        <w:t>مدى وقانونية استعمال العقاقير المهدئة او المنوّمة اثناء التحقيق مع الأشخاص المتهمين بارتكاب الجرائم وذلك " لكشف الحقيقة " .</w:t>
      </w:r>
    </w:p>
    <w:p w:rsidR="00650BEA" w:rsidRDefault="00650BEA" w:rsidP="00650BEA">
      <w:pPr>
        <w:numPr>
          <w:ilvl w:val="1"/>
          <w:numId w:val="6"/>
        </w:numPr>
        <w:bidi/>
        <w:spacing w:before="0" w:after="0"/>
        <w:jc w:val="both"/>
        <w:rPr>
          <w:b/>
          <w:bCs/>
          <w:sz w:val="18"/>
          <w:szCs w:val="24"/>
        </w:rPr>
      </w:pPr>
      <w:r>
        <w:rPr>
          <w:b/>
          <w:bCs/>
          <w:sz w:val="18"/>
          <w:szCs w:val="24"/>
          <w:rtl/>
        </w:rPr>
        <w:t>التعريف القانوني للأمراض المعدية والانتقالية والحجر الصحي وأصول تطبيقه والعقوبات على المخالفين.</w:t>
      </w:r>
    </w:p>
    <w:p w:rsidR="00650BEA" w:rsidRDefault="00650BEA" w:rsidP="00650BEA">
      <w:pPr>
        <w:numPr>
          <w:ilvl w:val="0"/>
          <w:numId w:val="6"/>
        </w:numPr>
        <w:bidi/>
        <w:spacing w:before="0" w:after="0"/>
        <w:jc w:val="both"/>
        <w:rPr>
          <w:b/>
          <w:bCs/>
          <w:sz w:val="18"/>
          <w:szCs w:val="24"/>
          <w:u w:val="single"/>
        </w:rPr>
      </w:pPr>
      <w:r>
        <w:rPr>
          <w:b/>
          <w:bCs/>
          <w:sz w:val="18"/>
          <w:szCs w:val="24"/>
          <w:u w:val="single"/>
          <w:rtl/>
        </w:rPr>
        <w:t>افشاء السر المهني في مهنة التمريض:</w:t>
      </w:r>
      <w:r>
        <w:rPr>
          <w:b/>
          <w:bCs/>
          <w:sz w:val="18"/>
          <w:szCs w:val="24"/>
          <w:rtl/>
        </w:rPr>
        <w:t xml:space="preserve"> </w:t>
      </w:r>
    </w:p>
    <w:p w:rsidR="00650BEA" w:rsidRDefault="00650BEA" w:rsidP="00650BEA">
      <w:pPr>
        <w:bidi/>
        <w:ind w:firstLine="720"/>
        <w:jc w:val="both"/>
        <w:rPr>
          <w:b/>
          <w:bCs/>
          <w:sz w:val="18"/>
          <w:szCs w:val="24"/>
          <w:u w:val="single"/>
          <w:rtl/>
        </w:rPr>
      </w:pPr>
      <w:r>
        <w:rPr>
          <w:b/>
          <w:bCs/>
          <w:sz w:val="18"/>
          <w:szCs w:val="24"/>
          <w:rtl/>
        </w:rPr>
        <w:t>- شروط الإفشاء، النتائج المترتبة على افشاءه والاستثناءات على منع افشائه .</w:t>
      </w:r>
    </w:p>
    <w:p w:rsidR="00650BEA" w:rsidRDefault="00650BEA" w:rsidP="00650BEA">
      <w:pPr>
        <w:bidi/>
        <w:ind w:firstLine="720"/>
        <w:jc w:val="both"/>
        <w:rPr>
          <w:b/>
          <w:bCs/>
          <w:sz w:val="18"/>
          <w:szCs w:val="24"/>
        </w:rPr>
      </w:pPr>
      <w:r>
        <w:rPr>
          <w:b/>
          <w:bCs/>
          <w:sz w:val="18"/>
          <w:szCs w:val="24"/>
          <w:rtl/>
        </w:rPr>
        <w:t>- مدى إستطاعة الممرض المجاز الامتناع عن أداء الشهادة في موضوع مرضي يتعلق بأحد</w:t>
      </w:r>
      <w:r>
        <w:rPr>
          <w:b/>
          <w:bCs/>
          <w:sz w:val="18"/>
          <w:szCs w:val="24"/>
          <w:rtl/>
        </w:rPr>
        <w:br/>
        <w:t xml:space="preserve"> </w:t>
      </w:r>
      <w:r>
        <w:rPr>
          <w:b/>
          <w:bCs/>
          <w:sz w:val="18"/>
          <w:szCs w:val="24"/>
          <w:rtl/>
        </w:rPr>
        <w:tab/>
        <w:t xml:space="preserve">   المرضى ؟</w:t>
      </w:r>
    </w:p>
    <w:p w:rsidR="00650BEA" w:rsidRDefault="00650BEA" w:rsidP="00650BEA">
      <w:pPr>
        <w:numPr>
          <w:ilvl w:val="0"/>
          <w:numId w:val="6"/>
        </w:numPr>
        <w:bidi/>
        <w:spacing w:before="0" w:after="0"/>
        <w:ind w:left="360" w:firstLine="8"/>
        <w:jc w:val="both"/>
        <w:rPr>
          <w:b/>
          <w:bCs/>
          <w:sz w:val="18"/>
          <w:szCs w:val="24"/>
          <w:u w:val="single"/>
          <w:rtl/>
        </w:rPr>
      </w:pPr>
      <w:r>
        <w:rPr>
          <w:b/>
          <w:bCs/>
          <w:sz w:val="18"/>
          <w:szCs w:val="24"/>
          <w:u w:val="single"/>
          <w:rtl/>
        </w:rPr>
        <w:t>نقابة الممرضين والممرضات :</w:t>
      </w:r>
      <w:r>
        <w:rPr>
          <w:b/>
          <w:bCs/>
          <w:sz w:val="18"/>
          <w:szCs w:val="24"/>
          <w:rtl/>
        </w:rPr>
        <w:t xml:space="preserve"> تعريفها ولمحة عن الجمعية العمومية، مجلس النقابة والنقيب.</w:t>
      </w:r>
    </w:p>
    <w:p w:rsidR="00650BEA" w:rsidRDefault="00650BEA" w:rsidP="00650BEA">
      <w:pPr>
        <w:numPr>
          <w:ilvl w:val="0"/>
          <w:numId w:val="8"/>
        </w:numPr>
        <w:bidi/>
        <w:spacing w:before="0" w:after="0"/>
        <w:jc w:val="both"/>
        <w:rPr>
          <w:b/>
          <w:bCs/>
          <w:sz w:val="18"/>
          <w:szCs w:val="24"/>
        </w:rPr>
      </w:pPr>
      <w:r>
        <w:rPr>
          <w:b/>
          <w:bCs/>
          <w:sz w:val="18"/>
          <w:szCs w:val="24"/>
          <w:rtl/>
        </w:rPr>
        <w:t>شروط الانتساب اليها (للبنانيين – للأجانب) .</w:t>
      </w:r>
    </w:p>
    <w:p w:rsidR="00650BEA" w:rsidRDefault="00650BEA" w:rsidP="00650BEA">
      <w:pPr>
        <w:numPr>
          <w:ilvl w:val="0"/>
          <w:numId w:val="8"/>
        </w:numPr>
        <w:bidi/>
        <w:spacing w:before="0" w:after="0"/>
        <w:ind w:left="1076" w:hanging="283"/>
        <w:jc w:val="both"/>
        <w:rPr>
          <w:b/>
          <w:bCs/>
          <w:sz w:val="18"/>
          <w:szCs w:val="24"/>
          <w:rtl/>
        </w:rPr>
      </w:pPr>
      <w:r>
        <w:rPr>
          <w:b/>
          <w:bCs/>
          <w:sz w:val="18"/>
          <w:szCs w:val="24"/>
          <w:rtl/>
        </w:rPr>
        <w:t>المجلس التأديبي للنقابة (آلية احالة المخالفات المسلكية – مهلة اصدار القرار وطرق المراجعة بشأنه - الملاحقة المسلكية والعقوبات : التأدي</w:t>
      </w:r>
      <w:bookmarkStart w:id="0" w:name="_GoBack"/>
      <w:bookmarkEnd w:id="0"/>
      <w:r>
        <w:rPr>
          <w:b/>
          <w:bCs/>
          <w:sz w:val="18"/>
          <w:szCs w:val="24"/>
          <w:rtl/>
        </w:rPr>
        <w:t>ب - تعليق العضوية – الشطب - الملاحقة الجزائية العقوبات وأنواعها (لمحة عن مفهوم الجرم الجزائي وأنواع الجرائم وسلطات الملاحقة فيها).</w:t>
      </w:r>
      <w:r>
        <w:rPr>
          <w:b/>
          <w:bCs/>
          <w:sz w:val="18"/>
          <w:szCs w:val="24"/>
          <w:rtl/>
        </w:rPr>
        <w:tab/>
      </w:r>
    </w:p>
    <w:p w:rsidR="00650BEA" w:rsidRDefault="00650BEA" w:rsidP="00650BEA">
      <w:pPr>
        <w:bidi/>
        <w:ind w:left="1076" w:hanging="1076"/>
        <w:jc w:val="both"/>
        <w:rPr>
          <w:b/>
          <w:bCs/>
          <w:sz w:val="18"/>
          <w:szCs w:val="24"/>
          <w:rtl/>
        </w:rPr>
      </w:pPr>
      <w:r>
        <w:rPr>
          <w:sz w:val="36"/>
          <w:szCs w:val="36"/>
          <w:rtl/>
        </w:rPr>
        <w:t>*</w:t>
      </w:r>
      <w:r>
        <w:rPr>
          <w:sz w:val="18"/>
          <w:szCs w:val="24"/>
          <w:rtl/>
        </w:rPr>
        <w:t xml:space="preserve"> </w:t>
      </w:r>
      <w:r>
        <w:rPr>
          <w:sz w:val="18"/>
          <w:szCs w:val="24"/>
          <w:u w:val="single"/>
          <w:rtl/>
        </w:rPr>
        <w:t>ملاحظة</w:t>
      </w:r>
      <w:r>
        <w:rPr>
          <w:b/>
          <w:bCs/>
          <w:sz w:val="18"/>
          <w:szCs w:val="24"/>
          <w:rtl/>
        </w:rPr>
        <w:t>: يطبق هذا المنهاج لغاية صدور التعديلات التشريعية عن مجلس النواب في ما خص القوانين المتعلقة بمهنة التمريض سواء في حقل المزاولة أم في ما خص النقابة .</w:t>
      </w:r>
    </w:p>
    <w:p w:rsidR="00650BEA" w:rsidRDefault="00650BEA" w:rsidP="00650BEA">
      <w:pPr>
        <w:bidi/>
        <w:jc w:val="both"/>
        <w:rPr>
          <w:b/>
          <w:bCs/>
          <w:sz w:val="18"/>
          <w:szCs w:val="24"/>
          <w:rtl/>
        </w:rPr>
      </w:pPr>
    </w:p>
    <w:p w:rsidR="00650BEA" w:rsidRDefault="00650BEA" w:rsidP="00650BEA">
      <w:pPr>
        <w:bidi/>
        <w:jc w:val="right"/>
        <w:rPr>
          <w:b/>
          <w:bCs/>
          <w:sz w:val="18"/>
          <w:szCs w:val="24"/>
          <w:rtl/>
        </w:rPr>
      </w:pPr>
      <w:proofErr w:type="spellStart"/>
      <w:r>
        <w:rPr>
          <w:sz w:val="18"/>
          <w:szCs w:val="24"/>
        </w:rPr>
        <w:t>Akiki</w:t>
      </w:r>
      <w:proofErr w:type="spellEnd"/>
      <w:r>
        <w:rPr>
          <w:sz w:val="18"/>
          <w:szCs w:val="24"/>
        </w:rPr>
        <w:t xml:space="preserve"> Salem </w:t>
      </w:r>
    </w:p>
    <w:p w:rsidR="00DD7CB8" w:rsidRPr="00650BEA" w:rsidRDefault="00DD7CB8" w:rsidP="00650BEA"/>
    <w:sectPr w:rsidR="00DD7CB8" w:rsidRPr="00650BEA" w:rsidSect="00650BEA">
      <w:pgSz w:w="12240" w:h="15840"/>
      <w:pgMar w:top="568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A6DB5"/>
    <w:multiLevelType w:val="hybridMultilevel"/>
    <w:tmpl w:val="589E3612"/>
    <w:lvl w:ilvl="0" w:tplc="DC58DC06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Simplified Arabic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4866F7"/>
    <w:multiLevelType w:val="hybridMultilevel"/>
    <w:tmpl w:val="A6744284"/>
    <w:lvl w:ilvl="0" w:tplc="9F7AA51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961229"/>
    <w:multiLevelType w:val="hybridMultilevel"/>
    <w:tmpl w:val="456008DE"/>
    <w:lvl w:ilvl="0" w:tplc="595C96D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01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01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01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14F058E"/>
    <w:multiLevelType w:val="hybridMultilevel"/>
    <w:tmpl w:val="77A8DDF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832F63"/>
    <w:multiLevelType w:val="hybridMultilevel"/>
    <w:tmpl w:val="39665278"/>
    <w:lvl w:ilvl="0" w:tplc="9F7AA518">
      <w:start w:val="1"/>
      <w:numFmt w:val="bullet"/>
      <w:lvlText w:val=""/>
      <w:lvlJc w:val="left"/>
      <w:pPr>
        <w:ind w:left="810" w:hanging="360"/>
      </w:pPr>
      <w:rPr>
        <w:rFonts w:ascii="Symbol" w:hAnsi="Symbol" w:cs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DA6DCC"/>
    <w:multiLevelType w:val="hybridMultilevel"/>
    <w:tmpl w:val="F2E27BFC"/>
    <w:lvl w:ilvl="0" w:tplc="9F7AA51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EE24B1"/>
    <w:multiLevelType w:val="hybridMultilevel"/>
    <w:tmpl w:val="75628D42"/>
    <w:lvl w:ilvl="0" w:tplc="C03C6EC2">
      <w:start w:val="8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Simplified Arabic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B0A1EC2"/>
    <w:multiLevelType w:val="hybridMultilevel"/>
    <w:tmpl w:val="458A38C8"/>
    <w:lvl w:ilvl="0" w:tplc="9F7AA51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7"/>
  </w:num>
  <w:num w:numId="5">
    <w:abstractNumId w:val="2"/>
  </w:num>
  <w:num w:numId="6">
    <w:abstractNumId w:val="0"/>
    <w:lvlOverride w:ilvl="0"/>
    <w:lvlOverride w:ilvl="1"/>
    <w:lvlOverride w:ilvl="2"/>
    <w:lvlOverride w:ilvl="3"/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/>
    <w:lvlOverride w:ilvl="2"/>
    <w:lvlOverride w:ilvl="3"/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493"/>
    <w:rsid w:val="00650BEA"/>
    <w:rsid w:val="007E3493"/>
    <w:rsid w:val="00DC4A2E"/>
    <w:rsid w:val="00DD7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40E731-6A35-43F0-99E0-68BE8AAB2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4A2E"/>
    <w:pPr>
      <w:spacing w:before="60" w:after="60" w:line="240" w:lineRule="auto"/>
      <w:jc w:val="lowKashida"/>
    </w:pPr>
    <w:rPr>
      <w:rFonts w:ascii="Arial" w:eastAsia="Times New Roman" w:hAnsi="Arial" w:cs="Traditional Arabic"/>
      <w:szCs w:val="26"/>
      <w:lang w:val="fr-FR" w:bidi="ar-LB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C4A2E"/>
    <w:pPr>
      <w:keepNext/>
      <w:spacing w:before="240" w:after="0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DC4A2E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paragraph" w:styleId="ListParagraph">
    <w:name w:val="List Paragraph"/>
    <w:basedOn w:val="Normal"/>
    <w:uiPriority w:val="34"/>
    <w:qFormat/>
    <w:rsid w:val="00DC4A2E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Arial"/>
      <w:szCs w:val="22"/>
      <w:lang w:val="en-US" w:bidi="ar-SA"/>
    </w:rPr>
  </w:style>
  <w:style w:type="paragraph" w:styleId="BodyText">
    <w:name w:val="Body Text"/>
    <w:basedOn w:val="Normal"/>
    <w:link w:val="BodyTextChar"/>
    <w:semiHidden/>
    <w:unhideWhenUsed/>
    <w:rsid w:val="00650BEA"/>
    <w:pPr>
      <w:bidi/>
      <w:spacing w:before="0" w:after="0"/>
    </w:pPr>
    <w:rPr>
      <w:rFonts w:ascii="Times New Roman" w:hAnsi="Times New Roman" w:cs="Simplified Arabic"/>
      <w:b/>
      <w:bCs/>
      <w:sz w:val="24"/>
      <w:szCs w:val="32"/>
      <w:lang w:val="en-US" w:bidi="ar-SA"/>
    </w:rPr>
  </w:style>
  <w:style w:type="character" w:customStyle="1" w:styleId="BodyTextChar">
    <w:name w:val="Body Text Char"/>
    <w:basedOn w:val="DefaultParagraphFont"/>
    <w:link w:val="BodyText"/>
    <w:semiHidden/>
    <w:rsid w:val="00650BEA"/>
    <w:rPr>
      <w:rFonts w:ascii="Times New Roman" w:eastAsia="Times New Roman" w:hAnsi="Times New Roman" w:cs="Simplified Arabic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18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361</Words>
  <Characters>2061</Characters>
  <Application>Microsoft Office Word</Application>
  <DocSecurity>0</DocSecurity>
  <Lines>17</Lines>
  <Paragraphs>4</Paragraphs>
  <ScaleCrop>false</ScaleCrop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2020-10-06T07:13:00Z</dcterms:created>
  <dcterms:modified xsi:type="dcterms:W3CDTF">2020-10-08T10:15:00Z</dcterms:modified>
</cp:coreProperties>
</file>